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39" w:rsidRPr="00C50869" w:rsidRDefault="00AA3339" w:rsidP="00AA3339">
      <w:pPr>
        <w:jc w:val="center"/>
        <w:rPr>
          <w:rFonts w:ascii="Arial" w:hAnsi="Arial" w:cs="Arial"/>
          <w:b/>
          <w:sz w:val="32"/>
          <w:szCs w:val="32"/>
        </w:rPr>
      </w:pPr>
      <w:r w:rsidRPr="00C50869">
        <w:rPr>
          <w:rFonts w:ascii="Arial" w:eastAsia="Times New Roman" w:hAnsi="Arial" w:cs="Arial"/>
          <w:b/>
          <w:sz w:val="32"/>
          <w:szCs w:val="32"/>
        </w:rPr>
        <w:t>“PROGRAMA EUROPEOS PARA EL FOMENTO DEL EMPRENDEDURISMO Y L</w:t>
      </w:r>
      <w:r>
        <w:rPr>
          <w:rFonts w:ascii="Arial" w:eastAsia="Times New Roman" w:hAnsi="Arial" w:cs="Arial"/>
          <w:b/>
          <w:sz w:val="32"/>
          <w:szCs w:val="32"/>
        </w:rPr>
        <w:t>A INNOVACIÓN SOCIAL”</w:t>
      </w:r>
    </w:p>
    <w:p w:rsidR="00AA3339" w:rsidRPr="00C50869" w:rsidRDefault="00AA3339" w:rsidP="00AA3339">
      <w:pPr>
        <w:jc w:val="both"/>
        <w:rPr>
          <w:rFonts w:ascii="Arial" w:hAnsi="Arial" w:cs="Arial"/>
          <w:b/>
          <w:sz w:val="24"/>
          <w:szCs w:val="24"/>
        </w:rPr>
      </w:pPr>
      <w:r w:rsidRPr="00C50869">
        <w:rPr>
          <w:rFonts w:ascii="Arial" w:hAnsi="Arial" w:cs="Arial"/>
          <w:b/>
          <w:sz w:val="24"/>
          <w:szCs w:val="24"/>
        </w:rPr>
        <w:t xml:space="preserve">INTRODUCCIÓN PROYECTO SOCENT </w:t>
      </w:r>
      <w:proofErr w:type="spellStart"/>
      <w:r w:rsidRPr="00C50869">
        <w:rPr>
          <w:rFonts w:ascii="Arial" w:hAnsi="Arial" w:cs="Arial"/>
          <w:b/>
          <w:sz w:val="24"/>
          <w:szCs w:val="24"/>
        </w:rPr>
        <w:t>SPAs</w:t>
      </w:r>
      <w:proofErr w:type="spellEnd"/>
    </w:p>
    <w:p w:rsidR="00AA3339" w:rsidRPr="00C50869" w:rsidRDefault="00AA3339" w:rsidP="00AA3339">
      <w:pPr>
        <w:jc w:val="both"/>
        <w:rPr>
          <w:rFonts w:ascii="Arial" w:hAnsi="Arial" w:cs="Arial"/>
          <w:sz w:val="24"/>
          <w:szCs w:val="24"/>
        </w:rPr>
      </w:pPr>
      <w:r w:rsidRPr="00C50869">
        <w:rPr>
          <w:rFonts w:ascii="Arial" w:hAnsi="Arial" w:cs="Arial"/>
          <w:sz w:val="24"/>
          <w:szCs w:val="24"/>
        </w:rPr>
        <w:t xml:space="preserve">La Dirección General de Economía Social de la Consejería de Empleo de la Junta de Castilla y León, está participando en el proyecto SOCENT </w:t>
      </w:r>
      <w:proofErr w:type="spellStart"/>
      <w:r w:rsidRPr="00C50869">
        <w:rPr>
          <w:rFonts w:ascii="Arial" w:hAnsi="Arial" w:cs="Arial"/>
          <w:sz w:val="24"/>
          <w:szCs w:val="24"/>
        </w:rPr>
        <w:t>SPAs</w:t>
      </w:r>
      <w:proofErr w:type="spellEnd"/>
      <w:r w:rsidRPr="00C50869">
        <w:rPr>
          <w:rFonts w:ascii="Arial" w:hAnsi="Arial" w:cs="Arial"/>
          <w:sz w:val="24"/>
          <w:szCs w:val="24"/>
        </w:rPr>
        <w:t xml:space="preserve"> (Emprendimiento Social en áreas escasamente pobladas) en el marco de los programas europeos, </w:t>
      </w:r>
      <w:proofErr w:type="spellStart"/>
      <w:r w:rsidRPr="00C50869">
        <w:rPr>
          <w:rFonts w:ascii="Arial" w:hAnsi="Arial" w:cs="Arial"/>
          <w:sz w:val="24"/>
          <w:szCs w:val="24"/>
        </w:rPr>
        <w:t>Interreg</w:t>
      </w:r>
      <w:proofErr w:type="spellEnd"/>
      <w:r w:rsidRPr="00C50869">
        <w:rPr>
          <w:rFonts w:ascii="Arial" w:hAnsi="Arial" w:cs="Arial"/>
          <w:sz w:val="24"/>
          <w:szCs w:val="24"/>
        </w:rPr>
        <w:t xml:space="preserve"> </w:t>
      </w:r>
      <w:proofErr w:type="spellStart"/>
      <w:r w:rsidRPr="00C50869">
        <w:rPr>
          <w:rFonts w:ascii="Arial" w:hAnsi="Arial" w:cs="Arial"/>
          <w:sz w:val="24"/>
          <w:szCs w:val="24"/>
        </w:rPr>
        <w:t>Europe</w:t>
      </w:r>
      <w:proofErr w:type="spellEnd"/>
      <w:r w:rsidRPr="00C50869">
        <w:rPr>
          <w:rFonts w:ascii="Arial" w:hAnsi="Arial" w:cs="Arial"/>
          <w:sz w:val="24"/>
          <w:szCs w:val="24"/>
        </w:rPr>
        <w:t>.</w:t>
      </w:r>
    </w:p>
    <w:p w:rsidR="00AA3339" w:rsidRPr="00C50869" w:rsidRDefault="00AA3339" w:rsidP="00AA3339">
      <w:pPr>
        <w:tabs>
          <w:tab w:val="left" w:pos="2145"/>
        </w:tabs>
        <w:jc w:val="both"/>
        <w:rPr>
          <w:rFonts w:ascii="Arial" w:hAnsi="Arial" w:cs="Arial"/>
          <w:sz w:val="24"/>
          <w:szCs w:val="24"/>
        </w:rPr>
      </w:pPr>
      <w:r w:rsidRPr="00C50869">
        <w:rPr>
          <w:rFonts w:ascii="Arial" w:hAnsi="Arial" w:cs="Arial"/>
          <w:sz w:val="24"/>
          <w:szCs w:val="24"/>
        </w:rPr>
        <w:t>Junto con otras seis entidades públicas y privadas de Finlandia, Alemania, Eslovaquia y España, se pretende mejorar la efectividad de las políticas regionales, con el objetivo de apoyar activamente la visibilidad, incubación y aceleración de empresas sociales en  dichas áreas como motor de la competitividad regional y el crecimiento inclusivo.</w:t>
      </w:r>
    </w:p>
    <w:p w:rsidR="00AA3339" w:rsidRPr="00C50869" w:rsidRDefault="00AA3339" w:rsidP="00AA3339">
      <w:pPr>
        <w:jc w:val="both"/>
        <w:rPr>
          <w:rFonts w:ascii="Arial" w:hAnsi="Arial" w:cs="Arial"/>
          <w:sz w:val="24"/>
          <w:szCs w:val="24"/>
        </w:rPr>
      </w:pPr>
      <w:r w:rsidRPr="00C50869">
        <w:rPr>
          <w:rFonts w:ascii="Arial" w:hAnsi="Arial" w:cs="Arial"/>
          <w:sz w:val="24"/>
          <w:szCs w:val="24"/>
        </w:rPr>
        <w:t>El proyecto tiene una duración de 54 meses dividido en dos fases  y 9 semestres.</w:t>
      </w:r>
    </w:p>
    <w:p w:rsidR="00AA3339" w:rsidRPr="00C50869" w:rsidRDefault="00AA3339" w:rsidP="00AA3339">
      <w:pPr>
        <w:jc w:val="both"/>
        <w:rPr>
          <w:rFonts w:ascii="Arial" w:hAnsi="Arial" w:cs="Arial"/>
          <w:sz w:val="24"/>
          <w:szCs w:val="24"/>
        </w:rPr>
      </w:pPr>
      <w:r w:rsidRPr="00C50869">
        <w:rPr>
          <w:rFonts w:ascii="Arial" w:hAnsi="Arial" w:cs="Arial"/>
          <w:sz w:val="24"/>
          <w:szCs w:val="24"/>
        </w:rPr>
        <w:t>Comenzó en diciembre de 2016 y terminará en junio de 2021</w:t>
      </w:r>
    </w:p>
    <w:p w:rsidR="00AA3339" w:rsidRPr="00C50869" w:rsidRDefault="00AA3339" w:rsidP="00AA3339">
      <w:pPr>
        <w:jc w:val="both"/>
        <w:rPr>
          <w:rFonts w:ascii="Arial" w:hAnsi="Arial" w:cs="Arial"/>
          <w:sz w:val="24"/>
          <w:szCs w:val="24"/>
        </w:rPr>
      </w:pPr>
      <w:r w:rsidRPr="00C50869">
        <w:rPr>
          <w:rFonts w:ascii="Arial" w:hAnsi="Arial" w:cs="Arial"/>
          <w:sz w:val="24"/>
          <w:szCs w:val="24"/>
        </w:rPr>
        <w:t>Actualmente se han completado 2 semestres, los cuales se han basado en la definición de los objetivos realistas de cada socio teniendo en cuenta el marco legal y el estado del emprendimiento social en cada una de sus regiones.</w:t>
      </w:r>
    </w:p>
    <w:p w:rsidR="00AA3339" w:rsidRPr="00C50869" w:rsidRDefault="00AA3339" w:rsidP="00AA3339">
      <w:pPr>
        <w:jc w:val="both"/>
        <w:rPr>
          <w:rFonts w:ascii="Arial" w:hAnsi="Arial" w:cs="Arial"/>
          <w:sz w:val="24"/>
          <w:szCs w:val="24"/>
        </w:rPr>
      </w:pPr>
      <w:r w:rsidRPr="00C50869">
        <w:rPr>
          <w:rFonts w:ascii="Arial" w:hAnsi="Arial" w:cs="Arial"/>
          <w:sz w:val="24"/>
          <w:szCs w:val="24"/>
        </w:rPr>
        <w:t>Asimismo</w:t>
      </w:r>
      <w:r>
        <w:rPr>
          <w:rFonts w:ascii="Arial" w:hAnsi="Arial" w:cs="Arial"/>
          <w:sz w:val="24"/>
          <w:szCs w:val="24"/>
        </w:rPr>
        <w:t>,</w:t>
      </w:r>
      <w:r w:rsidRPr="00C50869">
        <w:rPr>
          <w:rFonts w:ascii="Arial" w:hAnsi="Arial" w:cs="Arial"/>
          <w:sz w:val="24"/>
          <w:szCs w:val="24"/>
        </w:rPr>
        <w:t xml:space="preserve"> durante estas dos etapas se han realizado visitas interr</w:t>
      </w:r>
      <w:r>
        <w:rPr>
          <w:rFonts w:ascii="Arial" w:hAnsi="Arial" w:cs="Arial"/>
          <w:sz w:val="24"/>
          <w:szCs w:val="24"/>
        </w:rPr>
        <w:t>egionales con vistas al</w:t>
      </w:r>
      <w:r w:rsidRPr="00C50869">
        <w:rPr>
          <w:rFonts w:ascii="Arial" w:hAnsi="Arial" w:cs="Arial"/>
          <w:sz w:val="24"/>
          <w:szCs w:val="24"/>
        </w:rPr>
        <w:t xml:space="preserve"> análisis de buenas prácticas de la situación in situ de cada región</w:t>
      </w:r>
      <w:r>
        <w:rPr>
          <w:rFonts w:ascii="Arial" w:hAnsi="Arial" w:cs="Arial"/>
          <w:sz w:val="24"/>
          <w:szCs w:val="24"/>
        </w:rPr>
        <w:t>.</w:t>
      </w:r>
    </w:p>
    <w:p w:rsidR="00AA3339" w:rsidRPr="00C50869" w:rsidRDefault="00AA3339" w:rsidP="00AA3339">
      <w:pPr>
        <w:jc w:val="both"/>
        <w:rPr>
          <w:rFonts w:ascii="Arial" w:hAnsi="Arial" w:cs="Arial"/>
          <w:sz w:val="24"/>
          <w:szCs w:val="24"/>
        </w:rPr>
      </w:pPr>
      <w:r w:rsidRPr="00C50869">
        <w:rPr>
          <w:rFonts w:ascii="Arial" w:hAnsi="Arial" w:cs="Arial"/>
          <w:sz w:val="24"/>
          <w:szCs w:val="24"/>
        </w:rPr>
        <w:t>Para la realización de todas estas actividades es importantísimo involucrar a las partes interesadas relacionadas con el emprendimiento social, puesto que son ellas el motor principal del proyecto y base de los planes de acción que se implementarán a lo largo del proyecto.</w:t>
      </w:r>
    </w:p>
    <w:p w:rsidR="00AA3339" w:rsidRPr="00C50869" w:rsidRDefault="00AA3339" w:rsidP="00AA3339">
      <w:pPr>
        <w:jc w:val="both"/>
        <w:rPr>
          <w:rFonts w:ascii="Arial" w:hAnsi="Arial" w:cs="Arial"/>
          <w:b/>
          <w:sz w:val="24"/>
          <w:szCs w:val="24"/>
        </w:rPr>
      </w:pPr>
      <w:r w:rsidRPr="00C50869">
        <w:rPr>
          <w:rFonts w:ascii="Arial" w:hAnsi="Arial" w:cs="Arial"/>
          <w:b/>
          <w:sz w:val="24"/>
          <w:szCs w:val="24"/>
        </w:rPr>
        <w:t xml:space="preserve">PRINCIPALES DIFICULTADES ENCONTRADAS </w:t>
      </w:r>
    </w:p>
    <w:p w:rsidR="00AA3339" w:rsidRPr="00C50869" w:rsidRDefault="00AA3339" w:rsidP="00AA3339">
      <w:pPr>
        <w:jc w:val="both"/>
        <w:rPr>
          <w:rFonts w:ascii="Arial" w:hAnsi="Arial" w:cs="Arial"/>
          <w:sz w:val="24"/>
          <w:szCs w:val="24"/>
        </w:rPr>
      </w:pPr>
      <w:r w:rsidRPr="00C50869">
        <w:rPr>
          <w:rFonts w:ascii="Arial" w:hAnsi="Arial" w:cs="Arial"/>
          <w:sz w:val="24"/>
          <w:szCs w:val="24"/>
        </w:rPr>
        <w:t xml:space="preserve">Entre las principales dificultades encontradas por </w:t>
      </w:r>
      <w:r w:rsidRPr="00C50869">
        <w:rPr>
          <w:rFonts w:ascii="Arial" w:hAnsi="Arial" w:cs="Arial"/>
          <w:sz w:val="24"/>
          <w:szCs w:val="24"/>
          <w:u w:val="single"/>
        </w:rPr>
        <w:t>nuestros socios</w:t>
      </w:r>
      <w:r w:rsidRPr="00C50869">
        <w:rPr>
          <w:rFonts w:ascii="Arial" w:hAnsi="Arial" w:cs="Arial"/>
          <w:sz w:val="24"/>
          <w:szCs w:val="24"/>
        </w:rPr>
        <w:t xml:space="preserve"> a la hora de la ejecución del mismo hasta hora son:</w:t>
      </w:r>
    </w:p>
    <w:p w:rsidR="00AA3339" w:rsidRPr="00C50869" w:rsidRDefault="00AA3339" w:rsidP="00AA3339">
      <w:pPr>
        <w:pStyle w:val="Prrafodelista"/>
        <w:numPr>
          <w:ilvl w:val="0"/>
          <w:numId w:val="4"/>
        </w:numPr>
        <w:jc w:val="both"/>
        <w:rPr>
          <w:rFonts w:ascii="Arial" w:hAnsi="Arial" w:cs="Arial"/>
          <w:sz w:val="24"/>
          <w:szCs w:val="24"/>
        </w:rPr>
      </w:pPr>
      <w:r w:rsidRPr="00C50869">
        <w:rPr>
          <w:rFonts w:ascii="Arial" w:hAnsi="Arial" w:cs="Arial"/>
          <w:sz w:val="24"/>
          <w:szCs w:val="24"/>
        </w:rPr>
        <w:t>La posibilidad de utilizar el dinero asignado a otras actividades no planificadas, en el cronograma inicial, pudiendo entender en este sentido que el programa es poco flexible en este sentido.</w:t>
      </w:r>
    </w:p>
    <w:p w:rsidR="00AA3339" w:rsidRPr="00C50869" w:rsidRDefault="00AA3339" w:rsidP="00AA3339">
      <w:pPr>
        <w:pStyle w:val="Prrafodelista"/>
        <w:numPr>
          <w:ilvl w:val="0"/>
          <w:numId w:val="4"/>
        </w:numPr>
        <w:jc w:val="both"/>
        <w:rPr>
          <w:rFonts w:ascii="Arial" w:hAnsi="Arial" w:cs="Arial"/>
          <w:sz w:val="24"/>
          <w:szCs w:val="24"/>
        </w:rPr>
      </w:pPr>
      <w:r w:rsidRPr="00C50869">
        <w:rPr>
          <w:rFonts w:ascii="Arial" w:hAnsi="Arial" w:cs="Arial"/>
          <w:sz w:val="24"/>
          <w:szCs w:val="24"/>
        </w:rPr>
        <w:t>Otra de las dificultades es el aprendizaje mutuo, partiendo  de que los contextos políticos de las diferentes regiones del proyecto son muy diferentes, y el concepto “Emprendimiento Social” está  mucho más avanzado en países como en Finlandia, que en este caso  poseen una definición de la misma. (En el caso del resto de socios, no hay nada regulado específicamente al respecto).</w:t>
      </w:r>
    </w:p>
    <w:p w:rsidR="00AA3339" w:rsidRPr="00C50869" w:rsidRDefault="00AA3339" w:rsidP="00AA3339">
      <w:pPr>
        <w:jc w:val="both"/>
        <w:rPr>
          <w:rFonts w:ascii="Arial" w:hAnsi="Arial" w:cs="Arial"/>
          <w:sz w:val="24"/>
          <w:szCs w:val="24"/>
        </w:rPr>
      </w:pPr>
      <w:r w:rsidRPr="00C50869">
        <w:rPr>
          <w:rFonts w:ascii="Arial" w:hAnsi="Arial" w:cs="Arial"/>
          <w:sz w:val="24"/>
          <w:szCs w:val="24"/>
        </w:rPr>
        <w:lastRenderedPageBreak/>
        <w:t xml:space="preserve">Por otra parte, y teniendo en cuanta otros proyectos más avanzados o incluso finalizados por parte de </w:t>
      </w:r>
      <w:proofErr w:type="spellStart"/>
      <w:r w:rsidRPr="00C50869">
        <w:rPr>
          <w:rFonts w:ascii="Arial" w:hAnsi="Arial" w:cs="Arial"/>
          <w:sz w:val="24"/>
          <w:szCs w:val="24"/>
        </w:rPr>
        <w:t>Interreg</w:t>
      </w:r>
      <w:proofErr w:type="spellEnd"/>
      <w:r w:rsidRPr="00C50869">
        <w:rPr>
          <w:rFonts w:ascii="Arial" w:hAnsi="Arial" w:cs="Arial"/>
          <w:sz w:val="24"/>
          <w:szCs w:val="24"/>
        </w:rPr>
        <w:t xml:space="preserve"> </w:t>
      </w:r>
      <w:proofErr w:type="spellStart"/>
      <w:r w:rsidRPr="00C50869">
        <w:rPr>
          <w:rFonts w:ascii="Arial" w:hAnsi="Arial" w:cs="Arial"/>
          <w:sz w:val="24"/>
          <w:szCs w:val="24"/>
        </w:rPr>
        <w:t>Europe</w:t>
      </w:r>
      <w:proofErr w:type="spellEnd"/>
      <w:r w:rsidRPr="00C50869">
        <w:rPr>
          <w:rFonts w:ascii="Arial" w:hAnsi="Arial" w:cs="Arial"/>
          <w:sz w:val="24"/>
          <w:szCs w:val="24"/>
        </w:rPr>
        <w:t>, los principales retos o dificultades a los que se presentan estos proyectos son:</w:t>
      </w:r>
    </w:p>
    <w:p w:rsidR="00AA3339" w:rsidRPr="00C50869" w:rsidRDefault="00AA3339" w:rsidP="00AA3339">
      <w:pPr>
        <w:pStyle w:val="Prrafodelista"/>
        <w:numPr>
          <w:ilvl w:val="0"/>
          <w:numId w:val="4"/>
        </w:numPr>
        <w:jc w:val="both"/>
        <w:rPr>
          <w:rFonts w:ascii="Arial" w:hAnsi="Arial" w:cs="Arial"/>
          <w:sz w:val="24"/>
          <w:szCs w:val="24"/>
        </w:rPr>
      </w:pPr>
      <w:r w:rsidRPr="00C50869">
        <w:rPr>
          <w:rFonts w:ascii="Arial" w:hAnsi="Arial" w:cs="Arial"/>
          <w:sz w:val="24"/>
          <w:szCs w:val="24"/>
        </w:rPr>
        <w:t>El cambio de personal  en el transcurso de la ejecución del proyecto, tanto en los socios como en las partes interesadas (STAKHOLDERS), esto afecta en cuanto a la muestra de interés en el proyecto.</w:t>
      </w:r>
    </w:p>
    <w:p w:rsidR="00AA3339" w:rsidRDefault="00AA3339" w:rsidP="00AA3339">
      <w:pPr>
        <w:pStyle w:val="Prrafodelista"/>
        <w:numPr>
          <w:ilvl w:val="0"/>
          <w:numId w:val="4"/>
        </w:numPr>
        <w:jc w:val="both"/>
        <w:rPr>
          <w:rFonts w:ascii="Arial" w:hAnsi="Arial" w:cs="Arial"/>
          <w:sz w:val="24"/>
          <w:szCs w:val="24"/>
        </w:rPr>
      </w:pPr>
      <w:r w:rsidRPr="00C50869">
        <w:rPr>
          <w:rFonts w:ascii="Arial" w:hAnsi="Arial" w:cs="Arial"/>
          <w:sz w:val="24"/>
          <w:szCs w:val="24"/>
        </w:rPr>
        <w:t>Otro de los retos más difíciles que otros proyectos ya finalizados han encontrado en el camino han sido:</w:t>
      </w:r>
    </w:p>
    <w:p w:rsidR="00AA3339" w:rsidRPr="00C50869" w:rsidRDefault="00AA3339" w:rsidP="00AA3339">
      <w:pPr>
        <w:pStyle w:val="Prrafodelista"/>
        <w:jc w:val="both"/>
        <w:rPr>
          <w:rFonts w:ascii="Arial" w:hAnsi="Arial" w:cs="Arial"/>
          <w:sz w:val="24"/>
          <w:szCs w:val="24"/>
        </w:rPr>
      </w:pP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La implementación del plan de acción, cuando el objetivo es legislar o crear un cambio en el marco legislativo actual, muchas veces es un objetivo a muy largo plazo, por lo que las consecuencias no son inmediatas y eso puede mermar en la motivación de las partes interesadas.</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Adaptar buenas prácticas vistas en otros países al nuestro, ya que muchas veces por el contexto político-social al que se quiere aplicar es prácticamente imposible.</w:t>
      </w:r>
    </w:p>
    <w:p w:rsidR="00AA3339" w:rsidRPr="00C50869" w:rsidRDefault="00AA3339" w:rsidP="00AA3339">
      <w:pPr>
        <w:jc w:val="both"/>
        <w:rPr>
          <w:rFonts w:ascii="Arial" w:hAnsi="Arial" w:cs="Arial"/>
          <w:b/>
          <w:sz w:val="24"/>
          <w:szCs w:val="24"/>
        </w:rPr>
      </w:pPr>
      <w:r w:rsidRPr="00C50869">
        <w:rPr>
          <w:rFonts w:ascii="Arial" w:hAnsi="Arial" w:cs="Arial"/>
          <w:b/>
          <w:sz w:val="24"/>
          <w:szCs w:val="24"/>
        </w:rPr>
        <w:t>CONSEJOS PARA QUE LOS PROYECTOS SEA UN ÉXITO</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Involucrar a los partes interesadas (STAKHOLDERS), en todas fases del proyecto, que lo sientan como suyo, puesto que al fin de al cabo este proyecto es en su beneficio.</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Comunicación fluida entre los socios y las partes interesadas, recoger la máxima información y saber transmitirla.</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Importancia del análisis exhaustivo de las buenas prácticas</w:t>
      </w:r>
      <w:r>
        <w:rPr>
          <w:rFonts w:ascii="Arial" w:hAnsi="Arial" w:cs="Arial"/>
          <w:sz w:val="24"/>
          <w:szCs w:val="24"/>
        </w:rPr>
        <w:t>.</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No desviarse del objetivo final. Focalizar todas las actividades en base a nuestro objetivo.</w:t>
      </w:r>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 xml:space="preserve"> Proporcionar orientación a los socios (metodología clara)</w:t>
      </w:r>
      <w:r>
        <w:rPr>
          <w:rFonts w:ascii="Arial" w:hAnsi="Arial" w:cs="Arial"/>
          <w:sz w:val="24"/>
          <w:szCs w:val="24"/>
        </w:rPr>
        <w:t>.</w:t>
      </w:r>
      <w:bookmarkStart w:id="0" w:name="_GoBack"/>
      <w:bookmarkEnd w:id="0"/>
    </w:p>
    <w:p w:rsidR="00AA3339" w:rsidRPr="00C50869" w:rsidRDefault="00AA3339" w:rsidP="00AA3339">
      <w:pPr>
        <w:pStyle w:val="Prrafodelista"/>
        <w:numPr>
          <w:ilvl w:val="0"/>
          <w:numId w:val="5"/>
        </w:numPr>
        <w:jc w:val="both"/>
        <w:rPr>
          <w:rFonts w:ascii="Arial" w:hAnsi="Arial" w:cs="Arial"/>
          <w:sz w:val="24"/>
          <w:szCs w:val="24"/>
        </w:rPr>
      </w:pPr>
      <w:r w:rsidRPr="00C50869">
        <w:rPr>
          <w:rFonts w:ascii="Arial" w:hAnsi="Arial" w:cs="Arial"/>
          <w:sz w:val="24"/>
          <w:szCs w:val="24"/>
        </w:rPr>
        <w:t>Las  actividades tienen que ser  lo más participativas posible para mantener el interés y aprovechar al máximo el intercambio.</w:t>
      </w:r>
    </w:p>
    <w:p w:rsidR="006F7538" w:rsidRPr="002D3AB7" w:rsidRDefault="006F7538" w:rsidP="002D3AB7">
      <w:pPr>
        <w:tabs>
          <w:tab w:val="left" w:pos="2145"/>
        </w:tabs>
      </w:pPr>
    </w:p>
    <w:sectPr w:rsidR="006F7538" w:rsidRPr="002D3AB7" w:rsidSect="002D3AB7">
      <w:headerReference w:type="default" r:id="rId7"/>
      <w:pgSz w:w="11906" w:h="16838"/>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B7" w:rsidRDefault="002D3AB7" w:rsidP="002D3AB7">
      <w:pPr>
        <w:spacing w:after="0" w:line="240" w:lineRule="auto"/>
      </w:pPr>
      <w:r>
        <w:separator/>
      </w:r>
    </w:p>
  </w:endnote>
  <w:endnote w:type="continuationSeparator" w:id="0">
    <w:p w:rsidR="002D3AB7" w:rsidRDefault="002D3AB7" w:rsidP="002D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B7" w:rsidRDefault="002D3AB7" w:rsidP="002D3AB7">
      <w:pPr>
        <w:spacing w:after="0" w:line="240" w:lineRule="auto"/>
      </w:pPr>
      <w:r>
        <w:separator/>
      </w:r>
    </w:p>
  </w:footnote>
  <w:footnote w:type="continuationSeparator" w:id="0">
    <w:p w:rsidR="002D3AB7" w:rsidRDefault="002D3AB7" w:rsidP="002D3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B7" w:rsidRDefault="002D3AB7" w:rsidP="00B20B68">
    <w:pPr>
      <w:pStyle w:val="Encabezado"/>
      <w:ind w:left="-567"/>
    </w:pPr>
    <w:r>
      <w:rPr>
        <w:noProof/>
        <w:lang w:val="es-ES"/>
      </w:rPr>
      <w:drawing>
        <wp:anchor distT="0" distB="0" distL="114300" distR="114300" simplePos="0" relativeHeight="251659264" behindDoc="1" locked="0" layoutInCell="1" allowOverlap="1" wp14:anchorId="3D692127" wp14:editId="0529A712">
          <wp:simplePos x="0" y="0"/>
          <wp:positionH relativeFrom="margin">
            <wp:posOffset>4160520</wp:posOffset>
          </wp:positionH>
          <wp:positionV relativeFrom="paragraph">
            <wp:posOffset>-229235</wp:posOffset>
          </wp:positionV>
          <wp:extent cx="1657350" cy="1035685"/>
          <wp:effectExtent l="0" t="0" r="0" b="0"/>
          <wp:wrapTight wrapText="bothSides">
            <wp:wrapPolygon edited="0">
              <wp:start x="0" y="0"/>
              <wp:lineTo x="0" y="21057"/>
              <wp:lineTo x="21352" y="21057"/>
              <wp:lineTo x="21352" y="0"/>
              <wp:lineTo x="0" y="0"/>
            </wp:wrapPolygon>
          </wp:wrapTight>
          <wp:docPr id="2" name="Imagen 2" descr="C:\Users\Ana\Downloads\SOCENT_SPAs_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ownloads\SOCENT_SPAs_EU_FL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1035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D27A5">
      <w:rPr>
        <w:noProof/>
        <w:lang w:val="es-ES"/>
      </w:rPr>
      <w:drawing>
        <wp:inline distT="0" distB="0" distL="0" distR="0" wp14:anchorId="6A949140" wp14:editId="60953F48">
          <wp:extent cx="1459230" cy="656590"/>
          <wp:effectExtent l="0" t="0" r="7620" b="0"/>
          <wp:docPr id="1" name="Imagen 1" descr="G:\A LEGISLATURA 2015-2019\PLANTILLAS\Escudos\Emple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EGISLATURA 2015-2019\PLANTILLAS\Escudos\Emple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230" cy="65659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0E32"/>
    <w:multiLevelType w:val="hybridMultilevel"/>
    <w:tmpl w:val="54C8F9F6"/>
    <w:lvl w:ilvl="0" w:tplc="283030F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0F14A5"/>
    <w:multiLevelType w:val="hybridMultilevel"/>
    <w:tmpl w:val="42FE7D68"/>
    <w:lvl w:ilvl="0" w:tplc="CBAAC4E0">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EC2EDB"/>
    <w:multiLevelType w:val="hybridMultilevel"/>
    <w:tmpl w:val="D5A251EE"/>
    <w:lvl w:ilvl="0" w:tplc="C3A4EBC0">
      <w:numFmt w:val="bullet"/>
      <w:lvlText w:val=""/>
      <w:lvlJc w:val="left"/>
      <w:pPr>
        <w:ind w:left="1080" w:hanging="360"/>
      </w:pPr>
      <w:rPr>
        <w:rFonts w:ascii="Wingdings" w:eastAsiaTheme="minorHAnsi"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7092E17"/>
    <w:multiLevelType w:val="hybridMultilevel"/>
    <w:tmpl w:val="84A65844"/>
    <w:lvl w:ilvl="0" w:tplc="00120DFA">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1750A8"/>
    <w:multiLevelType w:val="hybridMultilevel"/>
    <w:tmpl w:val="18CEF396"/>
    <w:lvl w:ilvl="0" w:tplc="0E5E94E0">
      <w:start w:val="1"/>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BA"/>
    <w:rsid w:val="0021120F"/>
    <w:rsid w:val="002D3AB7"/>
    <w:rsid w:val="00563452"/>
    <w:rsid w:val="005679BA"/>
    <w:rsid w:val="006D1FAE"/>
    <w:rsid w:val="006F7538"/>
    <w:rsid w:val="00AA3339"/>
    <w:rsid w:val="00B20B68"/>
    <w:rsid w:val="00E66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1870918-1993-4B71-A746-89DF4BAC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79BA"/>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rsid w:val="005679B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D3A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AB7"/>
  </w:style>
  <w:style w:type="paragraph" w:styleId="Prrafodelista">
    <w:name w:val="List Paragraph"/>
    <w:basedOn w:val="Normal"/>
    <w:uiPriority w:val="34"/>
    <w:qFormat/>
    <w:rsid w:val="0021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Moreton Bombin</dc:creator>
  <cp:keywords/>
  <dc:description/>
  <cp:lastModifiedBy>Paula Arribas Martin</cp:lastModifiedBy>
  <cp:revision>2</cp:revision>
  <cp:lastPrinted>2017-03-22T12:59:00Z</cp:lastPrinted>
  <dcterms:created xsi:type="dcterms:W3CDTF">2018-04-27T12:08:00Z</dcterms:created>
  <dcterms:modified xsi:type="dcterms:W3CDTF">2018-04-27T12:08:00Z</dcterms:modified>
</cp:coreProperties>
</file>